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2890DD23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9A4107" w:rsidRPr="009A4107">
        <w:rPr>
          <w:rFonts w:ascii="Times New Roman" w:hAnsi="Times New Roman" w:cs="Times New Roman"/>
          <w:b/>
        </w:rPr>
        <w:t>Manažér/manažérka humanitárnej pomoci a rozvojovej spolupráce</w:t>
      </w:r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  <w:bookmarkStart w:id="0" w:name="_GoBack"/>
      <w:bookmarkEnd w:id="0"/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9838" w14:textId="77777777" w:rsidR="002913ED" w:rsidRDefault="002913ED" w:rsidP="009E6F13">
      <w:r>
        <w:separator/>
      </w:r>
    </w:p>
  </w:endnote>
  <w:endnote w:type="continuationSeparator" w:id="0">
    <w:p w14:paraId="7A2EF194" w14:textId="77777777" w:rsidR="002913ED" w:rsidRDefault="002913ED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1B0F" w14:textId="77777777" w:rsidR="002913ED" w:rsidRDefault="002913ED" w:rsidP="009E6F13">
      <w:r>
        <w:separator/>
      </w:r>
    </w:p>
  </w:footnote>
  <w:footnote w:type="continuationSeparator" w:id="0">
    <w:p w14:paraId="346DD75A" w14:textId="77777777" w:rsidR="002913ED" w:rsidRDefault="002913ED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913ED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335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A4107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9399-DB3A-944E-8E31-CEB4F88A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3</cp:revision>
  <cp:lastPrinted>2017-10-05T13:17:00Z</cp:lastPrinted>
  <dcterms:created xsi:type="dcterms:W3CDTF">2019-01-29T15:11:00Z</dcterms:created>
  <dcterms:modified xsi:type="dcterms:W3CDTF">2019-05-22T07:01:00Z</dcterms:modified>
</cp:coreProperties>
</file>